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BEDAC" w14:textId="77777777" w:rsidR="00586B32" w:rsidRDefault="00000000">
      <w:pPr>
        <w:pStyle w:val="Nagwek2"/>
        <w:ind w:firstLine="0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Karta modułu/przedmiotu</w:t>
      </w:r>
    </w:p>
    <w:tbl>
      <w:tblPr>
        <w:tblStyle w:val="a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1357"/>
        <w:gridCol w:w="1357"/>
        <w:gridCol w:w="453"/>
        <w:gridCol w:w="905"/>
        <w:gridCol w:w="1493"/>
        <w:gridCol w:w="775"/>
        <w:gridCol w:w="454"/>
        <w:gridCol w:w="1360"/>
        <w:gridCol w:w="1357"/>
      </w:tblGrid>
      <w:tr w:rsidR="00586B32" w14:paraId="2BBA28AC" w14:textId="77777777">
        <w:trPr>
          <w:cantSplit/>
          <w:trHeight w:val="510"/>
        </w:trPr>
        <w:tc>
          <w:tcPr>
            <w:tcW w:w="497" w:type="dxa"/>
            <w:vMerge w:val="restart"/>
            <w:shd w:val="clear" w:color="auto" w:fill="C0C0C0"/>
          </w:tcPr>
          <w:p w14:paraId="0ED9AFD0" w14:textId="77777777" w:rsidR="00586B32" w:rsidRDefault="00000000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Wypełnia Zespół Kierunku</w:t>
            </w:r>
          </w:p>
        </w:tc>
        <w:tc>
          <w:tcPr>
            <w:tcW w:w="6340" w:type="dxa"/>
            <w:gridSpan w:val="6"/>
          </w:tcPr>
          <w:p w14:paraId="503A673F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modułu (bloku przedmiotów): </w:t>
            </w:r>
          </w:p>
          <w:p w14:paraId="6B97CDED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PRZEDMIOTY KIERUNKOWE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39C3E878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Kod modułu: C</w:t>
            </w:r>
          </w:p>
        </w:tc>
      </w:tr>
      <w:tr w:rsidR="00586B32" w14:paraId="64BC30AB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1FB72999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6"/>
          </w:tcPr>
          <w:p w14:paraId="50C3A7A0" w14:textId="7B5B752E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przedmiotu: </w:t>
            </w:r>
            <w:r w:rsidR="0049112E" w:rsidRPr="000E2F78">
              <w:rPr>
                <w:b/>
                <w:bCs/>
                <w:sz w:val="24"/>
                <w:szCs w:val="24"/>
              </w:rPr>
              <w:t>Przedmioty fakultatywne</w:t>
            </w:r>
            <w:r w:rsidR="0049112E">
              <w:rPr>
                <w:sz w:val="24"/>
                <w:szCs w:val="24"/>
              </w:rPr>
              <w:t xml:space="preserve"> </w:t>
            </w:r>
            <w:r w:rsidR="000E2F78">
              <w:rPr>
                <w:b/>
                <w:sz w:val="24"/>
                <w:szCs w:val="24"/>
              </w:rPr>
              <w:t>-</w:t>
            </w:r>
            <w:r>
              <w:rPr>
                <w:b/>
                <w:sz w:val="24"/>
                <w:szCs w:val="24"/>
              </w:rPr>
              <w:t>PSYCHOLOGIA STARZENIA SIĘ I STAROŚCI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7D02852E" w14:textId="17232638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przedmiotu: </w:t>
            </w:r>
            <w:r w:rsidR="0049112E">
              <w:rPr>
                <w:sz w:val="24"/>
                <w:szCs w:val="24"/>
              </w:rPr>
              <w:t>C/33</w:t>
            </w:r>
          </w:p>
        </w:tc>
      </w:tr>
      <w:tr w:rsidR="00586B32" w14:paraId="6D3EE51C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22A3ECCF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05C08F21" w14:textId="77777777" w:rsidR="00586B32" w:rsidRDefault="00000000">
            <w:pPr>
              <w:rPr>
                <w:b/>
              </w:rPr>
            </w:pPr>
            <w:r>
              <w:rPr>
                <w:sz w:val="24"/>
                <w:szCs w:val="24"/>
              </w:rPr>
              <w:t>Nazwa jednostki organizacyjnej prowadzącej przedmiot / moduł:</w:t>
            </w:r>
            <w:r>
              <w:rPr>
                <w:b/>
              </w:rPr>
              <w:t xml:space="preserve"> </w:t>
            </w:r>
          </w:p>
          <w:p w14:paraId="473F94DE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INSTYTUT PEDAGOGICZNO-JĘZYKOWY </w:t>
            </w:r>
          </w:p>
        </w:tc>
      </w:tr>
      <w:tr w:rsidR="00586B32" w14:paraId="3A2F5D8E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20E8428F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094E2445" w14:textId="3A7DF076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kierunku: </w:t>
            </w:r>
            <w:r>
              <w:rPr>
                <w:b/>
                <w:sz w:val="24"/>
                <w:szCs w:val="24"/>
              </w:rPr>
              <w:t xml:space="preserve">PSYCHOLOGIA </w:t>
            </w:r>
          </w:p>
          <w:p w14:paraId="15D22703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</w:tr>
      <w:tr w:rsidR="00586B32" w14:paraId="07083BE1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4624E4A8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1064D33B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Moduł: </w:t>
            </w:r>
            <w:r>
              <w:rPr>
                <w:b/>
                <w:sz w:val="24"/>
                <w:szCs w:val="24"/>
              </w:rPr>
              <w:t>psychologia wychowawczo-edukacyjna/ psychologia kliniczna i zdrowia</w:t>
            </w:r>
          </w:p>
        </w:tc>
      </w:tr>
      <w:tr w:rsidR="00586B32" w14:paraId="3CF4537F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1EDD81D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7C88C545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Forma studiów: </w:t>
            </w:r>
            <w:r>
              <w:rPr>
                <w:b/>
                <w:sz w:val="24"/>
                <w:szCs w:val="24"/>
              </w:rPr>
              <w:t>STACJONARNE</w:t>
            </w:r>
          </w:p>
          <w:p w14:paraId="2604E81F" w14:textId="77777777" w:rsidR="00586B32" w:rsidRDefault="00586B32">
            <w:pPr>
              <w:rPr>
                <w:sz w:val="24"/>
                <w:szCs w:val="24"/>
              </w:rPr>
            </w:pPr>
          </w:p>
        </w:tc>
        <w:tc>
          <w:tcPr>
            <w:tcW w:w="3173" w:type="dxa"/>
            <w:gridSpan w:val="3"/>
          </w:tcPr>
          <w:p w14:paraId="2549B113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Profil kształcenia:</w:t>
            </w:r>
          </w:p>
          <w:p w14:paraId="171AE824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PRAKTYCZNY</w:t>
            </w:r>
          </w:p>
        </w:tc>
        <w:tc>
          <w:tcPr>
            <w:tcW w:w="3171" w:type="dxa"/>
            <w:gridSpan w:val="3"/>
          </w:tcPr>
          <w:p w14:paraId="7E48766E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Poziom studiów: </w:t>
            </w:r>
            <w:r>
              <w:rPr>
                <w:b/>
                <w:sz w:val="24"/>
                <w:szCs w:val="24"/>
              </w:rPr>
              <w:t>JEDNOLITE STUDIA MAGISTERSKIE</w:t>
            </w:r>
          </w:p>
        </w:tc>
      </w:tr>
      <w:tr w:rsidR="00586B32" w14:paraId="043FCB8C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0433FA98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14E83E9A" w14:textId="50161CCB" w:rsidR="0049112E" w:rsidRPr="00926757" w:rsidRDefault="00000000" w:rsidP="0049112E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Rok / semestr</w:t>
            </w:r>
            <w:r>
              <w:rPr>
                <w:b/>
                <w:sz w:val="24"/>
                <w:szCs w:val="24"/>
              </w:rPr>
              <w:t xml:space="preserve">: </w:t>
            </w:r>
            <w:r w:rsidR="0049112E">
              <w:rPr>
                <w:b/>
                <w:sz w:val="24"/>
                <w:szCs w:val="24"/>
              </w:rPr>
              <w:t>II/</w:t>
            </w:r>
            <w:r w:rsidR="000E2F78">
              <w:rPr>
                <w:b/>
                <w:sz w:val="24"/>
                <w:szCs w:val="24"/>
              </w:rPr>
              <w:t>4</w:t>
            </w:r>
            <w:r w:rsidR="0049112E">
              <w:rPr>
                <w:b/>
                <w:sz w:val="24"/>
                <w:szCs w:val="24"/>
              </w:rPr>
              <w:t xml:space="preserve"> – IV/7</w:t>
            </w:r>
          </w:p>
          <w:p w14:paraId="59214952" w14:textId="2CB65CC8" w:rsidR="00586B32" w:rsidRDefault="00586B32">
            <w:pPr>
              <w:rPr>
                <w:b/>
                <w:sz w:val="24"/>
                <w:szCs w:val="24"/>
              </w:rPr>
            </w:pPr>
          </w:p>
          <w:p w14:paraId="6D06C027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  <w:tc>
          <w:tcPr>
            <w:tcW w:w="3173" w:type="dxa"/>
            <w:gridSpan w:val="3"/>
          </w:tcPr>
          <w:p w14:paraId="3706918D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Status przedmiotu /modułu: </w:t>
            </w:r>
          </w:p>
          <w:p w14:paraId="120AB1F5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FAKULTATYWNY</w:t>
            </w:r>
          </w:p>
          <w:p w14:paraId="3F59AE6A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</w:tcPr>
          <w:p w14:paraId="6E84EB00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Język przedmiotu / modułu: </w:t>
            </w:r>
          </w:p>
          <w:p w14:paraId="7C385EAD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POLSKI</w:t>
            </w:r>
          </w:p>
          <w:p w14:paraId="19950078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</w:tr>
      <w:tr w:rsidR="00586B32" w14:paraId="20B30520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1E706612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</w:tcPr>
          <w:p w14:paraId="59087A75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Forma zajęć</w:t>
            </w:r>
          </w:p>
        </w:tc>
        <w:tc>
          <w:tcPr>
            <w:tcW w:w="1357" w:type="dxa"/>
            <w:vAlign w:val="center"/>
          </w:tcPr>
          <w:p w14:paraId="354EC401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wykład</w:t>
            </w:r>
          </w:p>
        </w:tc>
        <w:tc>
          <w:tcPr>
            <w:tcW w:w="1358" w:type="dxa"/>
            <w:gridSpan w:val="2"/>
            <w:vAlign w:val="center"/>
          </w:tcPr>
          <w:p w14:paraId="29C22A9D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ćwiczenia</w:t>
            </w:r>
          </w:p>
        </w:tc>
        <w:tc>
          <w:tcPr>
            <w:tcW w:w="1493" w:type="dxa"/>
            <w:vAlign w:val="center"/>
          </w:tcPr>
          <w:p w14:paraId="18E9911E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laboratorium</w:t>
            </w:r>
          </w:p>
        </w:tc>
        <w:tc>
          <w:tcPr>
            <w:tcW w:w="1229" w:type="dxa"/>
            <w:gridSpan w:val="2"/>
            <w:vAlign w:val="center"/>
          </w:tcPr>
          <w:p w14:paraId="5370FBB2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projekt</w:t>
            </w:r>
          </w:p>
        </w:tc>
        <w:tc>
          <w:tcPr>
            <w:tcW w:w="1360" w:type="dxa"/>
            <w:vAlign w:val="center"/>
          </w:tcPr>
          <w:p w14:paraId="3074C6AA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seminarium</w:t>
            </w:r>
          </w:p>
        </w:tc>
        <w:tc>
          <w:tcPr>
            <w:tcW w:w="1357" w:type="dxa"/>
            <w:vAlign w:val="center"/>
          </w:tcPr>
          <w:p w14:paraId="0AF629EC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inne </w:t>
            </w:r>
            <w:r>
              <w:rPr>
                <w:sz w:val="24"/>
                <w:szCs w:val="24"/>
              </w:rPr>
              <w:br/>
              <w:t>(wpisać jakie)</w:t>
            </w:r>
          </w:p>
        </w:tc>
      </w:tr>
      <w:tr w:rsidR="00586B32" w14:paraId="0DAADFDB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0ED84D8E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357" w:type="dxa"/>
          </w:tcPr>
          <w:p w14:paraId="1B240B84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Wymiar zajęć (godz.)</w:t>
            </w:r>
          </w:p>
        </w:tc>
        <w:tc>
          <w:tcPr>
            <w:tcW w:w="1357" w:type="dxa"/>
            <w:vAlign w:val="center"/>
          </w:tcPr>
          <w:p w14:paraId="50DA9301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6C467536" w14:textId="77777777" w:rsidR="00586B32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1493" w:type="dxa"/>
            <w:vAlign w:val="center"/>
          </w:tcPr>
          <w:p w14:paraId="660B8F60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vAlign w:val="center"/>
          </w:tcPr>
          <w:p w14:paraId="64885254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60" w:type="dxa"/>
            <w:vAlign w:val="center"/>
          </w:tcPr>
          <w:p w14:paraId="5CCB5567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7F98380A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14:paraId="6F5A90B9" w14:textId="77777777" w:rsidR="00586B32" w:rsidRDefault="00586B32">
      <w:pPr>
        <w:rPr>
          <w:sz w:val="24"/>
          <w:szCs w:val="24"/>
        </w:rPr>
      </w:pPr>
    </w:p>
    <w:tbl>
      <w:tblPr>
        <w:tblStyle w:val="a0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7020"/>
      </w:tblGrid>
      <w:tr w:rsidR="00586B32" w14:paraId="473E030A" w14:textId="77777777">
        <w:tc>
          <w:tcPr>
            <w:tcW w:w="2988" w:type="dxa"/>
            <w:tcBorders>
              <w:top w:val="single" w:sz="12" w:space="0" w:color="000000"/>
            </w:tcBorders>
            <w:vAlign w:val="center"/>
          </w:tcPr>
          <w:p w14:paraId="006F03F2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Koordynator przedmiotu / modułu*</w:t>
            </w:r>
          </w:p>
        </w:tc>
        <w:tc>
          <w:tcPr>
            <w:tcW w:w="7020" w:type="dxa"/>
            <w:tcBorders>
              <w:top w:val="single" w:sz="12" w:space="0" w:color="000000"/>
            </w:tcBorders>
            <w:vAlign w:val="center"/>
          </w:tcPr>
          <w:p w14:paraId="3DF6FC68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dr hab. Aleksandra Błachnio, prof. uczelni</w:t>
            </w:r>
          </w:p>
        </w:tc>
      </w:tr>
      <w:tr w:rsidR="00586B32" w14:paraId="6E5AED0F" w14:textId="77777777">
        <w:tc>
          <w:tcPr>
            <w:tcW w:w="2988" w:type="dxa"/>
            <w:vAlign w:val="center"/>
          </w:tcPr>
          <w:p w14:paraId="31077318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Prowadzący zajęcia*</w:t>
            </w:r>
          </w:p>
          <w:p w14:paraId="05D73F1B" w14:textId="77777777" w:rsidR="00586B32" w:rsidRDefault="00586B32">
            <w:pPr>
              <w:rPr>
                <w:sz w:val="24"/>
                <w:szCs w:val="24"/>
              </w:rPr>
            </w:pPr>
          </w:p>
        </w:tc>
        <w:tc>
          <w:tcPr>
            <w:tcW w:w="7020" w:type="dxa"/>
            <w:vAlign w:val="center"/>
          </w:tcPr>
          <w:p w14:paraId="2D9CAB0D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mgr Natalia Śluzek</w:t>
            </w:r>
          </w:p>
        </w:tc>
      </w:tr>
      <w:tr w:rsidR="00586B32" w14:paraId="2FA85936" w14:textId="77777777">
        <w:tc>
          <w:tcPr>
            <w:tcW w:w="2988" w:type="dxa"/>
            <w:vAlign w:val="center"/>
          </w:tcPr>
          <w:p w14:paraId="31454266" w14:textId="77777777" w:rsidR="00586B32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Cel kształcenia przedmiotu / modułu</w:t>
            </w:r>
          </w:p>
        </w:tc>
        <w:tc>
          <w:tcPr>
            <w:tcW w:w="7020" w:type="dxa"/>
            <w:vAlign w:val="center"/>
          </w:tcPr>
          <w:p w14:paraId="491116E6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Zapoznanie studentów z biopsychospołecznymi aspektami starzenia się, ze szczególnym uwzględnieniem zmian biologicznych, psychospołecznych i kulturowych w późnej dorosłości, problematyki zdrowia, tożsamości i obrazu ciała seniorów. Rozwinięcie umiejętności analizy zasobów osobistych, wyzwań starości oraz kontekstu opieki i wsparcia psychologicznego. Ukształtowanie gotowości do respektowania indywidualnych i kulturowych różnic w postrzeganiu starości w kontekście diagnozy i pomocy psychologicznej.</w:t>
            </w:r>
          </w:p>
        </w:tc>
      </w:tr>
      <w:tr w:rsidR="00586B32" w14:paraId="1EC9BB23" w14:textId="77777777">
        <w:tc>
          <w:tcPr>
            <w:tcW w:w="2988" w:type="dxa"/>
            <w:tcBorders>
              <w:bottom w:val="single" w:sz="12" w:space="0" w:color="000000"/>
            </w:tcBorders>
            <w:vAlign w:val="center"/>
          </w:tcPr>
          <w:p w14:paraId="6873366B" w14:textId="77777777" w:rsidR="00586B32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Wymagania wstępne</w:t>
            </w:r>
          </w:p>
        </w:tc>
        <w:tc>
          <w:tcPr>
            <w:tcW w:w="7020" w:type="dxa"/>
            <w:tcBorders>
              <w:bottom w:val="single" w:sz="12" w:space="0" w:color="000000"/>
            </w:tcBorders>
            <w:vAlign w:val="center"/>
          </w:tcPr>
          <w:p w14:paraId="26FBA3DA" w14:textId="77777777" w:rsidR="00586B32" w:rsidRDefault="00586B32">
            <w:pPr>
              <w:rPr>
                <w:sz w:val="24"/>
                <w:szCs w:val="24"/>
              </w:rPr>
            </w:pPr>
          </w:p>
        </w:tc>
      </w:tr>
    </w:tbl>
    <w:p w14:paraId="3C1CF87E" w14:textId="77777777" w:rsidR="00586B32" w:rsidRDefault="00000000">
      <w:pPr>
        <w:pBdr>
          <w:top w:val="nil"/>
          <w:left w:val="nil"/>
          <w:bottom w:val="nil"/>
          <w:right w:val="nil"/>
          <w:between w:val="nil"/>
        </w:pBdr>
        <w:ind w:left="142" w:right="-993" w:hanging="142"/>
        <w:jc w:val="both"/>
        <w:rPr>
          <w:i/>
          <w:color w:val="000000"/>
          <w:sz w:val="22"/>
          <w:szCs w:val="22"/>
        </w:rPr>
      </w:pPr>
      <w:bookmarkStart w:id="0" w:name="_heading=h.nxyzb2odivyp" w:colFirst="0" w:colLast="0"/>
      <w:bookmarkEnd w:id="0"/>
      <w:r>
        <w:rPr>
          <w:i/>
          <w:color w:val="000000"/>
          <w:sz w:val="22"/>
          <w:szCs w:val="22"/>
        </w:rPr>
        <w:t>* Zmiany koordynatora przedmiotu oraz prowadzącego zajęcia dokonuje Dyrektor Instytutu po akceptacji Prorektora ds. Kształcenia. Nowy koordynator przedmiotu oraz prowadzący przedmiot potwierdza zapoznanie się z treściami zawartymi w karcie przedmiotu.</w:t>
      </w:r>
    </w:p>
    <w:tbl>
      <w:tblPr>
        <w:tblStyle w:val="a1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57"/>
        <w:gridCol w:w="7315"/>
        <w:gridCol w:w="1536"/>
      </w:tblGrid>
      <w:tr w:rsidR="00586B32" w14:paraId="4ADC2D58" w14:textId="77777777">
        <w:trPr>
          <w:cantSplit/>
        </w:trPr>
        <w:tc>
          <w:tcPr>
            <w:tcW w:w="10008" w:type="dxa"/>
            <w:gridSpan w:val="3"/>
            <w:tcBorders>
              <w:top w:val="single" w:sz="12" w:space="0" w:color="000000"/>
              <w:bottom w:val="nil"/>
            </w:tcBorders>
            <w:vAlign w:val="center"/>
          </w:tcPr>
          <w:p w14:paraId="3E75DE41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EFEKTY UCZENIA SIĘ</w:t>
            </w:r>
          </w:p>
        </w:tc>
      </w:tr>
      <w:tr w:rsidR="00586B32" w14:paraId="2FE4AC4B" w14:textId="77777777">
        <w:trPr>
          <w:cantSplit/>
        </w:trPr>
        <w:tc>
          <w:tcPr>
            <w:tcW w:w="1157" w:type="dxa"/>
            <w:tcBorders>
              <w:top w:val="single" w:sz="12" w:space="0" w:color="000000"/>
              <w:left w:val="single" w:sz="12" w:space="0" w:color="000000"/>
              <w:bottom w:val="nil"/>
            </w:tcBorders>
            <w:vAlign w:val="center"/>
          </w:tcPr>
          <w:p w14:paraId="7BC4589D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Nr efektu uczenia się/ grupy efektów </w:t>
            </w:r>
          </w:p>
        </w:tc>
        <w:tc>
          <w:tcPr>
            <w:tcW w:w="7315" w:type="dxa"/>
            <w:tcBorders>
              <w:top w:val="single" w:sz="12" w:space="0" w:color="000000"/>
              <w:bottom w:val="nil"/>
              <w:right w:val="nil"/>
            </w:tcBorders>
            <w:vAlign w:val="center"/>
          </w:tcPr>
          <w:p w14:paraId="36888276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Opis efektu uczenia się</w:t>
            </w:r>
          </w:p>
        </w:tc>
        <w:tc>
          <w:tcPr>
            <w:tcW w:w="153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E01B36C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kierunkowego efektu </w:t>
            </w:r>
          </w:p>
          <w:p w14:paraId="124D05D0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uczenia się</w:t>
            </w:r>
          </w:p>
        </w:tc>
      </w:tr>
      <w:tr w:rsidR="00586B32" w14:paraId="5696C570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72B287C5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460F7831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Zna i rozumie biopsychospołeczne uwarunkowania funkcjonowania osób starszych; zna i rozumie wpływ czynników biologicznych (np. zmiany związane z procesem starzenia, menopauza, andropauza), psychospołecznych (np. zmiany ról społecznych, sytuacja życiowa, obraz ciała) na kształtowanie się tożsamości seniorów; zna i rozumie mechanizmy wpływające na postrzeganie starości i ich konsekwencje dla dobrostanu psychicznego osób w późnej dorosłości.</w:t>
            </w:r>
          </w:p>
          <w:p w14:paraId="5A82D1BB" w14:textId="77777777" w:rsidR="00586B32" w:rsidRDefault="00586B32">
            <w:pPr>
              <w:rPr>
                <w:sz w:val="24"/>
                <w:szCs w:val="24"/>
              </w:rPr>
            </w:pP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7B4DC48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PS_W02</w:t>
            </w:r>
          </w:p>
          <w:p w14:paraId="20739ED5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  <w:p w14:paraId="0EA121B5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PS_W10</w:t>
            </w:r>
          </w:p>
        </w:tc>
      </w:tr>
      <w:tr w:rsidR="00586B32" w14:paraId="71A5C699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71214BBA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02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56309F2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Zna i rozumie kulturowe uwarunkowania postrzegania starości, cielesności i ról społecznych osób starszych; zna i rozumie relatywność norm dotyczących wyglądu, aktywności i funkcjonowania seniorów w różnych kontekstach kulturowych i historycznych; rozumie wpływ społecznych oczekiwań i stereotypów (w tym ageizmu) na definiowanie normy starości.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38147A1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</w:tc>
      </w:tr>
      <w:tr w:rsidR="00586B32" w14:paraId="04327F47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7FC0D6FC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404880C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Potrafi wyjaśniać, analizować i interpretować wpływ czynników biologicznych, psychologicznych i kulturowych na funkcjonowanie osób starszych; potrafi rozpoznawać i omawiać zależności między obrazem ciała, tożsamością, rolami społecznymi a dobrostanem psychicznym seniorów w różnych kontekstach społecznych i sytuacyjnych.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CE3E9A2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PS_U02</w:t>
            </w:r>
          </w:p>
          <w:p w14:paraId="2E86CB50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PS_U04</w:t>
            </w:r>
          </w:p>
        </w:tc>
      </w:tr>
      <w:tr w:rsidR="00586B32" w14:paraId="711A8D1A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204977A6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3D7FDF44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Potrafi posłużyć się wiedzą teoretyczną z zakresu psychologii starości w charakteryzowaniu funkcjonowania psychicznego osób starszych; potrafi wskazać i omówić teoretyczne podstawy zjawisk takich jak obraz ciała, internalizacja norm społecznych, stereotypizacja starości czy kryzysy tożsamościowe oraz zastosować tę wiedzę do wstępnej analizy problemów psychologicznych seniorów w ujęciu indywidualnym i społecznym.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DA503E0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PS_U01</w:t>
            </w:r>
          </w:p>
          <w:p w14:paraId="6E928FD9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PS_U04</w:t>
            </w:r>
          </w:p>
          <w:p w14:paraId="07A57232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PS_U10</w:t>
            </w:r>
          </w:p>
        </w:tc>
      </w:tr>
      <w:tr w:rsidR="00586B32" w14:paraId="2D43C7FC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22A40D57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0AA095DB" w14:textId="77777777" w:rsidR="00586B32" w:rsidRDefault="00000000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Jest gotów wspierać osoby starsze w różnych aspektach ich funkcjonowania, rozwijać siebie i wspierać rozwój innych, wykorzystując wiedzę z zakresu psychologii starości do promowania zdrowia psychicznego, dobrostanu oraz akceptacji różnorodności cielesnej i tożsamościowej w późnej dorosłości; jest otwarty na refleksję nad społecznymi uwarunkowaniami doświadczenia starości oraz wykazuje wrażliwość na kwestie stereotypizacji, marginalizacji i wykluczenia seniorów.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DA19E77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PS_K01</w:t>
            </w:r>
          </w:p>
          <w:p w14:paraId="4C492601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PS_K04</w:t>
            </w:r>
          </w:p>
        </w:tc>
      </w:tr>
    </w:tbl>
    <w:p w14:paraId="1C5BDD4D" w14:textId="77777777" w:rsidR="00586B32" w:rsidRDefault="00586B32">
      <w:pPr>
        <w:rPr>
          <w:sz w:val="24"/>
          <w:szCs w:val="24"/>
        </w:rPr>
      </w:pPr>
    </w:p>
    <w:tbl>
      <w:tblPr>
        <w:tblStyle w:val="a2"/>
        <w:tblW w:w="9923" w:type="dxa"/>
        <w:tblInd w:w="-15" w:type="dxa"/>
        <w:tblBorders>
          <w:top w:val="single" w:sz="4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23"/>
      </w:tblGrid>
      <w:tr w:rsidR="00586B32" w14:paraId="04B6E1CA" w14:textId="77777777">
        <w:tc>
          <w:tcPr>
            <w:tcW w:w="9923" w:type="dxa"/>
            <w:vAlign w:val="center"/>
          </w:tcPr>
          <w:p w14:paraId="0B4582C8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TREŚCI PROGRAMOWE</w:t>
            </w:r>
          </w:p>
        </w:tc>
      </w:tr>
      <w:tr w:rsidR="00586B32" w14:paraId="72C059E8" w14:textId="77777777">
        <w:tc>
          <w:tcPr>
            <w:tcW w:w="9923" w:type="dxa"/>
            <w:shd w:val="clear" w:color="auto" w:fill="FFFFFF"/>
          </w:tcPr>
          <w:p w14:paraId="7700BF85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Wykład</w:t>
            </w:r>
          </w:p>
        </w:tc>
      </w:tr>
      <w:tr w:rsidR="00586B32" w14:paraId="150FF301" w14:textId="77777777">
        <w:tc>
          <w:tcPr>
            <w:tcW w:w="9923" w:type="dxa"/>
          </w:tcPr>
          <w:p w14:paraId="58461E94" w14:textId="77777777" w:rsidR="00586B32" w:rsidRDefault="00586B32">
            <w:pPr>
              <w:rPr>
                <w:sz w:val="24"/>
                <w:szCs w:val="24"/>
              </w:rPr>
            </w:pPr>
          </w:p>
        </w:tc>
      </w:tr>
      <w:tr w:rsidR="00586B32" w14:paraId="733452B3" w14:textId="77777777">
        <w:tc>
          <w:tcPr>
            <w:tcW w:w="9923" w:type="dxa"/>
            <w:shd w:val="clear" w:color="auto" w:fill="FFFFFF"/>
          </w:tcPr>
          <w:p w14:paraId="1FEA1BAC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Ćwiczenia</w:t>
            </w:r>
          </w:p>
        </w:tc>
      </w:tr>
      <w:tr w:rsidR="00586B32" w14:paraId="30CA6F34" w14:textId="77777777">
        <w:tc>
          <w:tcPr>
            <w:tcW w:w="9923" w:type="dxa"/>
          </w:tcPr>
          <w:p w14:paraId="3955863A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Podłoże biologiczne zmian towarzyszących rozwoju i procesowi starzenia się organizmu</w:t>
            </w:r>
          </w:p>
          <w:p w14:paraId="210B39D0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Obraz ciała - zmiany na przestrzeni życia </w:t>
            </w:r>
          </w:p>
          <w:p w14:paraId="46B592C4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Media i pop-kultura vs ciało i tożsamość kobiety</w:t>
            </w:r>
          </w:p>
          <w:p w14:paraId="3ECC3781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Ruchy body positivity i body neutrality a ich wpływ na obraz ciała kobiet</w:t>
            </w:r>
          </w:p>
          <w:p w14:paraId="3B7A2296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Różnice międzykulturowe w postrzeganiu ciała i ról płciowych</w:t>
            </w:r>
          </w:p>
          <w:p w14:paraId="578D9C59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Zjawisko uprzedmiotowienia i seksualizacji kobiet - przyczyny i skutki</w:t>
            </w:r>
          </w:p>
          <w:p w14:paraId="6EB3E396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Stereotypy płciowe i ich rola w funkcjonowaniu społecznym</w:t>
            </w:r>
          </w:p>
          <w:p w14:paraId="062EE8DB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Wpływ ideologii feministycznych na współczesny obraz kobiecości</w:t>
            </w:r>
          </w:p>
          <w:p w14:paraId="50A7DAAC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Problematyka macierzyństwa vs niepłodności kobiet</w:t>
            </w:r>
          </w:p>
          <w:p w14:paraId="527CCC67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Menopauza - wolność vs zagrożenie dla poczucia kobiecości</w:t>
            </w:r>
          </w:p>
          <w:p w14:paraId="18BA760B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Pomyślne starzenie się a kultura anti-aging</w:t>
            </w:r>
          </w:p>
          <w:p w14:paraId="444F49AE" w14:textId="77777777" w:rsidR="00586B32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Poczucie atrakcyjności a starzejące się ciało kobiety</w:t>
            </w:r>
          </w:p>
        </w:tc>
      </w:tr>
      <w:tr w:rsidR="00586B32" w14:paraId="153AFA3D" w14:textId="77777777">
        <w:tc>
          <w:tcPr>
            <w:tcW w:w="9923" w:type="dxa"/>
            <w:shd w:val="clear" w:color="auto" w:fill="FFFFFF"/>
          </w:tcPr>
          <w:p w14:paraId="6118F34F" w14:textId="77777777" w:rsidR="00586B32" w:rsidRDefault="00000000">
            <w:pPr>
              <w:pStyle w:val="Nagwek1"/>
            </w:pPr>
            <w:r>
              <w:t>Laboratorium</w:t>
            </w:r>
          </w:p>
        </w:tc>
      </w:tr>
      <w:tr w:rsidR="00586B32" w14:paraId="6DBEAE49" w14:textId="77777777">
        <w:tc>
          <w:tcPr>
            <w:tcW w:w="9923" w:type="dxa"/>
          </w:tcPr>
          <w:p w14:paraId="129EB627" w14:textId="77777777" w:rsidR="00586B32" w:rsidRDefault="00586B32">
            <w:pPr>
              <w:rPr>
                <w:sz w:val="24"/>
                <w:szCs w:val="24"/>
              </w:rPr>
            </w:pPr>
          </w:p>
        </w:tc>
      </w:tr>
      <w:tr w:rsidR="00586B32" w14:paraId="43EF35A5" w14:textId="77777777">
        <w:tc>
          <w:tcPr>
            <w:tcW w:w="9923" w:type="dxa"/>
            <w:shd w:val="clear" w:color="auto" w:fill="FFFFFF"/>
          </w:tcPr>
          <w:p w14:paraId="47312898" w14:textId="77777777" w:rsidR="00586B32" w:rsidRDefault="00000000">
            <w:pPr>
              <w:pStyle w:val="Nagwek1"/>
            </w:pPr>
            <w:r>
              <w:t>Projekt</w:t>
            </w:r>
          </w:p>
        </w:tc>
      </w:tr>
      <w:tr w:rsidR="00586B32" w14:paraId="09525A49" w14:textId="77777777">
        <w:tc>
          <w:tcPr>
            <w:tcW w:w="9923" w:type="dxa"/>
          </w:tcPr>
          <w:p w14:paraId="4AE9E065" w14:textId="77777777" w:rsidR="00586B32" w:rsidRDefault="00586B32">
            <w:pPr>
              <w:rPr>
                <w:sz w:val="24"/>
                <w:szCs w:val="24"/>
              </w:rPr>
            </w:pPr>
          </w:p>
        </w:tc>
      </w:tr>
      <w:tr w:rsidR="00586B32" w14:paraId="3B0732F0" w14:textId="77777777">
        <w:tc>
          <w:tcPr>
            <w:tcW w:w="9923" w:type="dxa"/>
            <w:shd w:val="clear" w:color="auto" w:fill="D9D9D9"/>
          </w:tcPr>
          <w:p w14:paraId="375E62F5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Seminarium</w:t>
            </w:r>
          </w:p>
        </w:tc>
      </w:tr>
      <w:tr w:rsidR="00586B32" w14:paraId="2DF354A9" w14:textId="77777777">
        <w:tc>
          <w:tcPr>
            <w:tcW w:w="9923" w:type="dxa"/>
          </w:tcPr>
          <w:p w14:paraId="1E39E42D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</w:tr>
      <w:tr w:rsidR="00586B32" w14:paraId="06460CE6" w14:textId="77777777">
        <w:tc>
          <w:tcPr>
            <w:tcW w:w="9923" w:type="dxa"/>
            <w:shd w:val="clear" w:color="auto" w:fill="D9D9D9"/>
          </w:tcPr>
          <w:p w14:paraId="6B03A7B7" w14:textId="77777777" w:rsidR="00586B32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Inne </w:t>
            </w:r>
          </w:p>
        </w:tc>
      </w:tr>
      <w:tr w:rsidR="00586B32" w14:paraId="1151A7E5" w14:textId="77777777">
        <w:tc>
          <w:tcPr>
            <w:tcW w:w="9923" w:type="dxa"/>
          </w:tcPr>
          <w:p w14:paraId="486978F2" w14:textId="77777777" w:rsidR="00586B32" w:rsidRDefault="00586B32">
            <w:pPr>
              <w:rPr>
                <w:sz w:val="24"/>
                <w:szCs w:val="24"/>
              </w:rPr>
            </w:pPr>
          </w:p>
        </w:tc>
      </w:tr>
    </w:tbl>
    <w:p w14:paraId="04A2B6B7" w14:textId="77777777" w:rsidR="00586B32" w:rsidRDefault="00586B32">
      <w:pPr>
        <w:rPr>
          <w:sz w:val="24"/>
          <w:szCs w:val="24"/>
        </w:rPr>
      </w:pPr>
    </w:p>
    <w:tbl>
      <w:tblPr>
        <w:tblStyle w:val="a3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33"/>
        <w:gridCol w:w="7575"/>
      </w:tblGrid>
      <w:tr w:rsidR="00586B32" w14:paraId="57367EB8" w14:textId="77777777">
        <w:tc>
          <w:tcPr>
            <w:tcW w:w="2433" w:type="dxa"/>
            <w:tcBorders>
              <w:top w:val="single" w:sz="12" w:space="0" w:color="000000"/>
            </w:tcBorders>
            <w:vAlign w:val="center"/>
          </w:tcPr>
          <w:p w14:paraId="714838A2" w14:textId="77777777" w:rsidR="00586B32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Literatura podstawowa*</w:t>
            </w:r>
          </w:p>
        </w:tc>
        <w:tc>
          <w:tcPr>
            <w:tcW w:w="7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B19ADB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Błachnio, A. (2019). </w:t>
            </w:r>
            <w:r>
              <w:rPr>
                <w:i/>
                <w:sz w:val="24"/>
                <w:szCs w:val="24"/>
              </w:rPr>
              <w:t>Potencjał osób w starości. Poczucie jakości życia w procesie starzenia się.</w:t>
            </w:r>
            <w:r>
              <w:rPr>
                <w:sz w:val="24"/>
                <w:szCs w:val="24"/>
              </w:rPr>
              <w:t xml:space="preserve"> Bydgoszcz: Wydawnictwo Uniwersytetu Kazimierza Wielkiego. </w:t>
            </w:r>
          </w:p>
          <w:p w14:paraId="0A8EB514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Błachnio, A. (2007). Okres późnej dorosłości – prawda i mity. W: R. Ossowski, A. Zwierzchowska-Ossowska (red.), </w:t>
            </w:r>
            <w:r>
              <w:rPr>
                <w:i/>
                <w:sz w:val="24"/>
                <w:szCs w:val="24"/>
              </w:rPr>
              <w:t>Uniwersytety Trzeciego Wieku – dla siebie i innych</w:t>
            </w:r>
            <w:r>
              <w:rPr>
                <w:sz w:val="24"/>
                <w:szCs w:val="24"/>
              </w:rPr>
              <w:t xml:space="preserve">. Kraków </w:t>
            </w:r>
          </w:p>
          <w:p w14:paraId="1FC57AF0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Kowalik, S. (2000). Wspomaganie rozwoju w procesie starzenia się. W: B. Kaja (red.) </w:t>
            </w:r>
            <w:r>
              <w:rPr>
                <w:i/>
                <w:sz w:val="24"/>
                <w:szCs w:val="24"/>
              </w:rPr>
              <w:t>Wspomaganie rozwoju. Psychostymulacja i psychokorekcja</w:t>
            </w:r>
            <w:r>
              <w:rPr>
                <w:sz w:val="24"/>
                <w:szCs w:val="24"/>
              </w:rPr>
              <w:t xml:space="preserve"> (t.2). Bydgoszcz: Wydawnictwo Uczelniane WSP </w:t>
            </w:r>
          </w:p>
          <w:p w14:paraId="760A0547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Nelson, T.D. (2003). </w:t>
            </w:r>
            <w:r>
              <w:rPr>
                <w:i/>
                <w:sz w:val="24"/>
                <w:szCs w:val="24"/>
              </w:rPr>
              <w:t>Psychologia uprzedzeń</w:t>
            </w:r>
            <w:r>
              <w:rPr>
                <w:sz w:val="24"/>
                <w:szCs w:val="24"/>
              </w:rPr>
              <w:t xml:space="preserve">. Gdańsk </w:t>
            </w:r>
          </w:p>
          <w:p w14:paraId="7979688E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 xml:space="preserve">Stuart-Hamilton, I. (2006). Psychologia starzenia się, tłum. </w:t>
            </w:r>
            <w:r>
              <w:rPr>
                <w:i/>
                <w:sz w:val="24"/>
                <w:szCs w:val="24"/>
                <w:highlight w:val="white"/>
              </w:rPr>
              <w:t>Aleksandra Błachnio, Wydawnictwo Zysk i S-ka, Poznań</w:t>
            </w:r>
            <w:r>
              <w:rPr>
                <w:sz w:val="24"/>
                <w:szCs w:val="24"/>
                <w:highlight w:val="white"/>
              </w:rPr>
              <w:t>.</w:t>
            </w:r>
          </w:p>
          <w:p w14:paraId="41AD01DA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Zych, A.A. (1999)</w:t>
            </w:r>
            <w:r>
              <w:rPr>
                <w:i/>
                <w:sz w:val="24"/>
                <w:szCs w:val="24"/>
              </w:rPr>
              <w:t xml:space="preserve"> Człowiek wobec starości. Szkice z gerontologii społecznej</w:t>
            </w:r>
            <w:r>
              <w:rPr>
                <w:sz w:val="24"/>
                <w:szCs w:val="24"/>
              </w:rPr>
              <w:t>. Katowice</w:t>
            </w:r>
          </w:p>
          <w:p w14:paraId="252CE230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Bielawska-Batorowicz, E. (2016).</w:t>
            </w:r>
            <w:r>
              <w:rPr>
                <w:i/>
                <w:sz w:val="24"/>
                <w:szCs w:val="24"/>
              </w:rPr>
              <w:t xml:space="preserve"> Psychologiczne aspekty menopauzy</w:t>
            </w:r>
            <w:r>
              <w:rPr>
                <w:sz w:val="24"/>
                <w:szCs w:val="24"/>
              </w:rPr>
              <w:t>. Wydawnictwo Naukowe PWN.</w:t>
            </w:r>
          </w:p>
          <w:p w14:paraId="45EE04AF" w14:textId="77777777" w:rsidR="00586B32" w:rsidRDefault="00000000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Wiśniewska, L. A. (2015). Kult ciała a starość. Refleksje psychologiczne. </w:t>
            </w:r>
            <w:r>
              <w:rPr>
                <w:i/>
                <w:sz w:val="24"/>
                <w:szCs w:val="24"/>
              </w:rPr>
              <w:t>Rocznik Andragogiczny, 21,</w:t>
            </w:r>
            <w:r>
              <w:rPr>
                <w:sz w:val="24"/>
                <w:szCs w:val="24"/>
              </w:rPr>
              <w:t xml:space="preserve"> 259-270.</w:t>
            </w:r>
          </w:p>
        </w:tc>
      </w:tr>
      <w:tr w:rsidR="00586B32" w14:paraId="1F734445" w14:textId="77777777">
        <w:tc>
          <w:tcPr>
            <w:tcW w:w="2433" w:type="dxa"/>
          </w:tcPr>
          <w:p w14:paraId="60A84E2E" w14:textId="77777777" w:rsidR="00586B32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Literatura uzupełniająca* </w:t>
            </w:r>
          </w:p>
        </w:tc>
        <w:tc>
          <w:tcPr>
            <w:tcW w:w="7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C25C9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Żołądź, J. A., Majerczak, J., &amp; Duda, K. (2011). Starzenie się a wydolność fizyczna człowieka. </w:t>
            </w:r>
            <w:r>
              <w:rPr>
                <w:i/>
                <w:sz w:val="24"/>
                <w:szCs w:val="24"/>
              </w:rPr>
              <w:t>Fizjologia wysiłku i treningu fizycznego, Warszawa: Wydawnictwo PZWL</w:t>
            </w:r>
            <w:r>
              <w:rPr>
                <w:sz w:val="24"/>
                <w:szCs w:val="24"/>
              </w:rPr>
              <w:t>, 157-165.</w:t>
            </w:r>
          </w:p>
          <w:p w14:paraId="39D25926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Wierzbicka, J., Brukwicka, I., Kopański, Z., Rowiński, J., &amp; Furmanik, F. (2017). Wybrane aspekty procesu starzenia się człowieka. </w:t>
            </w:r>
            <w:r>
              <w:rPr>
                <w:i/>
                <w:sz w:val="24"/>
                <w:szCs w:val="24"/>
              </w:rPr>
              <w:t>Journal of Clinical Healthcare</w:t>
            </w:r>
            <w:r>
              <w:rPr>
                <w:sz w:val="24"/>
                <w:szCs w:val="24"/>
              </w:rPr>
              <w:t>, (2).</w:t>
            </w:r>
          </w:p>
          <w:p w14:paraId="55B2EB6F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Izdebski, P., &amp; Polak, A. (2005). Bilans życia i poczucie koherencji osób starszych w zależności od ich aktualnej sytuacji życiowej. </w:t>
            </w:r>
            <w:r>
              <w:rPr>
                <w:i/>
                <w:sz w:val="24"/>
                <w:szCs w:val="24"/>
              </w:rPr>
              <w:t>Gerontologia Polska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13</w:t>
            </w:r>
            <w:r>
              <w:rPr>
                <w:sz w:val="24"/>
                <w:szCs w:val="24"/>
              </w:rPr>
              <w:t>(3), 188-194.</w:t>
            </w:r>
          </w:p>
          <w:p w14:paraId="4BFED8FD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Suppan, K., Basińska, M., &amp; Błachnio, A. (2023). Mentalizacja i pozytywna orientacja u starzejących się osób chorych na miażdżycę: Kluczowa rola mentalizacji i pozytywnej orientacji. </w:t>
            </w:r>
            <w:r>
              <w:rPr>
                <w:i/>
                <w:sz w:val="24"/>
                <w:szCs w:val="24"/>
              </w:rPr>
              <w:t>Exlibris Social Gerontology Journal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24</w:t>
            </w:r>
            <w:r>
              <w:rPr>
                <w:sz w:val="24"/>
                <w:szCs w:val="24"/>
              </w:rPr>
              <w:t>(1), 11-24.</w:t>
            </w:r>
          </w:p>
          <w:p w14:paraId="0AD74FAF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Nowicki, G. J., Ślusarska, B., Zboina, B., &amp; Deluga, A. (2017). Poczucie własnej skuteczności i umiejscowienie kontroli jako zasoby determinujące podejmowanie zachowań związanych ze zdrowiem. </w:t>
            </w:r>
            <w:r>
              <w:rPr>
                <w:i/>
                <w:sz w:val="24"/>
                <w:szCs w:val="24"/>
              </w:rPr>
              <w:t>Acta Scientifica Academiae Ostroviensis. Sectio A, Nauki Humanistyczne, Społeczne i Techniczne</w:t>
            </w:r>
            <w:r>
              <w:rPr>
                <w:sz w:val="24"/>
                <w:szCs w:val="24"/>
              </w:rPr>
              <w:t>, (10 (2)/2017), 18-37.</w:t>
            </w:r>
          </w:p>
          <w:p w14:paraId="0118A406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Dziuban, A. (2010). Społeczny obraz starości i postrzeganie własnego ciała w procesie starzenia się. Przegląd literatury. </w:t>
            </w:r>
            <w:r>
              <w:rPr>
                <w:i/>
                <w:sz w:val="24"/>
                <w:szCs w:val="24"/>
              </w:rPr>
              <w:t>Gerontologia Polska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18</w:t>
            </w:r>
            <w:r>
              <w:rPr>
                <w:sz w:val="24"/>
                <w:szCs w:val="24"/>
              </w:rPr>
              <w:t>(3), 140-147.</w:t>
            </w:r>
          </w:p>
          <w:p w14:paraId="29593D8B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Tomaszewska-Hołub, B. (2019). Stereotypizacja starości–wybrane przejawy ageizmu. </w:t>
            </w:r>
            <w:r>
              <w:rPr>
                <w:i/>
                <w:sz w:val="24"/>
                <w:szCs w:val="24"/>
              </w:rPr>
              <w:t>Cywilizacja i Polityka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17</w:t>
            </w:r>
            <w:r>
              <w:rPr>
                <w:sz w:val="24"/>
                <w:szCs w:val="24"/>
              </w:rPr>
              <w:t>(17), 90-101.</w:t>
            </w:r>
          </w:p>
          <w:p w14:paraId="5F9ABC49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Levy, S., &amp; Apriceno, M. (2019). Ageing: The role of ageism. </w:t>
            </w:r>
            <w:r>
              <w:rPr>
                <w:i/>
                <w:sz w:val="24"/>
                <w:szCs w:val="24"/>
              </w:rPr>
              <w:t>OBM Geriatrics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(4), 1-16.</w:t>
            </w:r>
          </w:p>
          <w:p w14:paraId="4E362A1A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Krajewska-Kułak, E., Chadzopulu, A., Cybulski, M., Łukaszuk, C., &amp; Trusewicz, Z. (2016). Podejście do starości na przestrzeni wieków i w różnych kulturach. W: Krajewska-Kułak, C. Łukaszuk, J. Lewko, &amp; W. Kułak (red.), </w:t>
            </w:r>
            <w:r>
              <w:rPr>
                <w:i/>
                <w:sz w:val="24"/>
                <w:szCs w:val="24"/>
              </w:rPr>
              <w:t>W drodze do brzegu życia. T. 14</w:t>
            </w:r>
            <w:r>
              <w:rPr>
                <w:sz w:val="24"/>
                <w:szCs w:val="24"/>
              </w:rPr>
              <w:t xml:space="preserve"> (s. 473–502). Uniwersytet Medyczny w Białymstoku. Wydział Nauk o Zdrowiu.</w:t>
            </w:r>
          </w:p>
          <w:p w14:paraId="0EFA070F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Szafranek, A. (2016). Czym jest pomyślne starzenie się?. </w:t>
            </w:r>
            <w:r>
              <w:rPr>
                <w:i/>
                <w:sz w:val="24"/>
                <w:szCs w:val="24"/>
              </w:rPr>
              <w:t>Edukacja prozdrowotna seniorów jako szansa na pomyślne starzenie się na przykładzie miasta Białegostoku</w:t>
            </w:r>
            <w:r>
              <w:rPr>
                <w:sz w:val="24"/>
                <w:szCs w:val="24"/>
              </w:rPr>
              <w:t>, 11.</w:t>
            </w:r>
          </w:p>
          <w:p w14:paraId="28ED753C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Zając-Lamparska, L. (2012). Psychologiczne koncepcje pomyślnego starzenia się człowieka. </w:t>
            </w:r>
            <w:r>
              <w:rPr>
                <w:i/>
                <w:sz w:val="24"/>
                <w:szCs w:val="24"/>
              </w:rPr>
              <w:t>Rocznik Andragogiczny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2012</w:t>
            </w:r>
            <w:r>
              <w:rPr>
                <w:sz w:val="24"/>
                <w:szCs w:val="24"/>
              </w:rPr>
              <w:t>, 89-105.</w:t>
            </w:r>
          </w:p>
          <w:p w14:paraId="38B74DC6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 xml:space="preserve">Morton, L. (2017). Sexuality in the older adult. </w:t>
            </w:r>
            <w:r>
              <w:rPr>
                <w:i/>
                <w:sz w:val="24"/>
                <w:szCs w:val="24"/>
                <w:highlight w:val="white"/>
              </w:rPr>
              <w:t>Primary care</w:t>
            </w:r>
            <w:r>
              <w:rPr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sz w:val="24"/>
                <w:szCs w:val="24"/>
                <w:highlight w:val="white"/>
              </w:rPr>
              <w:t>44</w:t>
            </w:r>
            <w:r>
              <w:rPr>
                <w:sz w:val="24"/>
                <w:szCs w:val="24"/>
                <w:highlight w:val="white"/>
              </w:rPr>
              <w:t>(3), 429-438.</w:t>
            </w:r>
          </w:p>
          <w:p w14:paraId="6B2F69A3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 xml:space="preserve">de Mendonça Lima, C. A., &amp; Ivbijaro, G. (2013). Mental health and wellbeing of older people: opportunities and challenges. </w:t>
            </w:r>
            <w:r>
              <w:rPr>
                <w:i/>
                <w:sz w:val="24"/>
                <w:szCs w:val="24"/>
                <w:highlight w:val="white"/>
              </w:rPr>
              <w:t>Mental health in family medicine</w:t>
            </w:r>
            <w:r>
              <w:rPr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sz w:val="24"/>
                <w:szCs w:val="24"/>
                <w:highlight w:val="white"/>
              </w:rPr>
              <w:t>10</w:t>
            </w:r>
            <w:r>
              <w:rPr>
                <w:sz w:val="24"/>
                <w:szCs w:val="24"/>
                <w:highlight w:val="white"/>
              </w:rPr>
              <w:t>(3), 125.</w:t>
            </w:r>
          </w:p>
          <w:p w14:paraId="14F481B6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 xml:space="preserve">Nowak-Kapusta, Z., Franek, G., Leszczyńska, K., &amp; Ćmiel-Giergielewicz, M. (2017). Charakterystyka wybranych elementów sytuacji społeczno-zdrowotnej mieszkańców domów pomocy społecznej z uwzględnieniem występowania u nich objawów depresji. </w:t>
            </w:r>
            <w:r>
              <w:rPr>
                <w:i/>
                <w:sz w:val="24"/>
                <w:szCs w:val="24"/>
                <w:highlight w:val="white"/>
              </w:rPr>
              <w:t>Gerontologia Polska</w:t>
            </w:r>
            <w:r>
              <w:rPr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sz w:val="24"/>
                <w:szCs w:val="24"/>
                <w:highlight w:val="white"/>
              </w:rPr>
              <w:t>25</w:t>
            </w:r>
            <w:r>
              <w:rPr>
                <w:sz w:val="24"/>
                <w:szCs w:val="24"/>
                <w:highlight w:val="white"/>
              </w:rPr>
              <w:t>, 5-11.</w:t>
            </w:r>
          </w:p>
          <w:p w14:paraId="0320E163" w14:textId="77777777" w:rsidR="00586B32" w:rsidRDefault="00000000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 xml:space="preserve">Bhatnagar, M., Kempfer, L. A., &amp; Lagnese, K. R. (2023). Hospice care. </w:t>
            </w:r>
            <w:r>
              <w:rPr>
                <w:i/>
                <w:sz w:val="24"/>
                <w:szCs w:val="24"/>
                <w:highlight w:val="white"/>
              </w:rPr>
              <w:t>StatPearls [Internet]</w:t>
            </w:r>
            <w:r>
              <w:rPr>
                <w:sz w:val="24"/>
                <w:szCs w:val="24"/>
                <w:highlight w:val="white"/>
              </w:rPr>
              <w:t>.</w:t>
            </w:r>
          </w:p>
        </w:tc>
      </w:tr>
      <w:tr w:rsidR="00586B32" w14:paraId="0166463A" w14:textId="77777777">
        <w:tc>
          <w:tcPr>
            <w:tcW w:w="2433" w:type="dxa"/>
          </w:tcPr>
          <w:p w14:paraId="240ED27A" w14:textId="77777777" w:rsidR="00586B32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Metody kształcenia stacjonarnego</w:t>
            </w:r>
          </w:p>
        </w:tc>
        <w:tc>
          <w:tcPr>
            <w:tcW w:w="7575" w:type="dxa"/>
          </w:tcPr>
          <w:p w14:paraId="67AD60C5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Dyskusja, praca z tekstem naukowym, metody aktywizujące (burza mózgów, mapa myśli, symulacje), praca grupowa i indywidualna, metoda analizy przypadków, prezentacje multimedialne, wykorzystanie fragmentów filmów i seriali celem omawiania zjawiska </w:t>
            </w:r>
          </w:p>
        </w:tc>
      </w:tr>
      <w:tr w:rsidR="00586B32" w14:paraId="0D8E468D" w14:textId="77777777">
        <w:tc>
          <w:tcPr>
            <w:tcW w:w="2433" w:type="dxa"/>
          </w:tcPr>
          <w:p w14:paraId="4BA0DEAF" w14:textId="77777777" w:rsidR="00586B32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kształcenia z wykorzystaniem metod i technik kształcenia na odległość</w:t>
            </w:r>
          </w:p>
        </w:tc>
        <w:tc>
          <w:tcPr>
            <w:tcW w:w="7575" w:type="dxa"/>
          </w:tcPr>
          <w:p w14:paraId="758BC194" w14:textId="77777777" w:rsidR="00586B32" w:rsidRDefault="00586B32">
            <w:pPr>
              <w:rPr>
                <w:i/>
                <w:sz w:val="24"/>
                <w:szCs w:val="24"/>
              </w:rPr>
            </w:pPr>
          </w:p>
        </w:tc>
      </w:tr>
    </w:tbl>
    <w:p w14:paraId="26354566" w14:textId="77777777" w:rsidR="00586B32" w:rsidRDefault="00000000">
      <w:pPr>
        <w:rPr>
          <w:sz w:val="22"/>
          <w:szCs w:val="22"/>
        </w:rPr>
      </w:pPr>
      <w:bookmarkStart w:id="1" w:name="_heading=h.l47e5nf020fc" w:colFirst="0" w:colLast="0"/>
      <w:bookmarkEnd w:id="1"/>
      <w:r>
        <w:rPr>
          <w:sz w:val="24"/>
          <w:szCs w:val="24"/>
        </w:rPr>
        <w:t xml:space="preserve">* </w:t>
      </w:r>
      <w:r>
        <w:rPr>
          <w:i/>
          <w:sz w:val="24"/>
          <w:szCs w:val="24"/>
        </w:rPr>
        <w:t>Literatura może być zmieniona po akceptacji Dyrektora Instytutu</w:t>
      </w:r>
    </w:p>
    <w:p w14:paraId="64B41A0B" w14:textId="77777777" w:rsidR="00586B32" w:rsidRDefault="00586B32">
      <w:pPr>
        <w:rPr>
          <w:sz w:val="22"/>
          <w:szCs w:val="22"/>
        </w:rPr>
      </w:pPr>
    </w:p>
    <w:tbl>
      <w:tblPr>
        <w:tblStyle w:val="a4"/>
        <w:tblW w:w="10008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405"/>
        <w:gridCol w:w="1943"/>
      </w:tblGrid>
      <w:tr w:rsidR="00586B32" w14:paraId="2624111F" w14:textId="77777777">
        <w:tc>
          <w:tcPr>
            <w:tcW w:w="8065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7F67A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weryfikacji efektów uczenia się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597A866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Nr efektu uczenia się/grupy efektów</w:t>
            </w:r>
          </w:p>
        </w:tc>
      </w:tr>
      <w:tr w:rsidR="00586B32" w14:paraId="7E983451" w14:textId="77777777">
        <w:tc>
          <w:tcPr>
            <w:tcW w:w="8065" w:type="dxa"/>
            <w:gridSpan w:val="2"/>
            <w:tcBorders>
              <w:top w:val="single" w:sz="4" w:space="0" w:color="000000"/>
            </w:tcBorders>
          </w:tcPr>
          <w:p w14:paraId="50B1915A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Aktywne uczestnictwo, wypowiedzi w trakcie zajęć, praca indywidualna i grupowa. 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</w:tcPr>
          <w:p w14:paraId="47220149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01,02,03,04,05, 06</w:t>
            </w:r>
          </w:p>
        </w:tc>
      </w:tr>
      <w:tr w:rsidR="00586B32" w14:paraId="294EF359" w14:textId="77777777">
        <w:tc>
          <w:tcPr>
            <w:tcW w:w="8065" w:type="dxa"/>
            <w:gridSpan w:val="2"/>
          </w:tcPr>
          <w:p w14:paraId="301C0FB9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Analiza sytuacji problemowej, analiza przypadku</w:t>
            </w:r>
          </w:p>
        </w:tc>
        <w:tc>
          <w:tcPr>
            <w:tcW w:w="1943" w:type="dxa"/>
          </w:tcPr>
          <w:p w14:paraId="3F93EF45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04,05,06,07,</w:t>
            </w:r>
          </w:p>
        </w:tc>
      </w:tr>
      <w:tr w:rsidR="00586B32" w14:paraId="1F1C5253" w14:textId="77777777">
        <w:trPr>
          <w:trHeight w:val="328"/>
        </w:trPr>
        <w:tc>
          <w:tcPr>
            <w:tcW w:w="8065" w:type="dxa"/>
            <w:gridSpan w:val="2"/>
          </w:tcPr>
          <w:p w14:paraId="54DA6988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Opracowanie prezentacji na wskazany temat</w:t>
            </w:r>
          </w:p>
        </w:tc>
        <w:tc>
          <w:tcPr>
            <w:tcW w:w="1943" w:type="dxa"/>
          </w:tcPr>
          <w:p w14:paraId="5A0F7C31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01,02,03,</w:t>
            </w:r>
          </w:p>
        </w:tc>
      </w:tr>
      <w:tr w:rsidR="00586B32" w14:paraId="0E5507C5" w14:textId="77777777">
        <w:tc>
          <w:tcPr>
            <w:tcW w:w="2660" w:type="dxa"/>
            <w:tcBorders>
              <w:bottom w:val="single" w:sz="12" w:space="0" w:color="000000"/>
            </w:tcBorders>
          </w:tcPr>
          <w:p w14:paraId="1C8EEA8F" w14:textId="77777777" w:rsidR="00586B32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Formy i warunki zaliczenia</w:t>
            </w:r>
          </w:p>
        </w:tc>
        <w:tc>
          <w:tcPr>
            <w:tcW w:w="7348" w:type="dxa"/>
            <w:gridSpan w:val="2"/>
            <w:tcBorders>
              <w:bottom w:val="single" w:sz="12" w:space="0" w:color="000000"/>
            </w:tcBorders>
          </w:tcPr>
          <w:p w14:paraId="31C93077" w14:textId="77777777" w:rsidR="00586B32" w:rsidRDefault="00000000">
            <w:pPr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>Prezentacja multimedialna i  aktywność na zajęciach</w:t>
            </w:r>
          </w:p>
        </w:tc>
      </w:tr>
    </w:tbl>
    <w:p w14:paraId="6F17CF6E" w14:textId="77777777" w:rsidR="00586B32" w:rsidRDefault="00586B32">
      <w:pPr>
        <w:rPr>
          <w:sz w:val="22"/>
          <w:szCs w:val="22"/>
        </w:rPr>
      </w:pPr>
    </w:p>
    <w:tbl>
      <w:tblPr>
        <w:tblStyle w:val="a5"/>
        <w:tblW w:w="10031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70"/>
        <w:gridCol w:w="1275"/>
        <w:gridCol w:w="1985"/>
        <w:gridCol w:w="1701"/>
      </w:tblGrid>
      <w:tr w:rsidR="00586B32" w14:paraId="3D8B5C6B" w14:textId="77777777">
        <w:tc>
          <w:tcPr>
            <w:tcW w:w="10031" w:type="dxa"/>
            <w:gridSpan w:val="4"/>
            <w:tcBorders>
              <w:top w:val="single" w:sz="12" w:space="0" w:color="000000"/>
              <w:bottom w:val="single" w:sz="4" w:space="0" w:color="000000"/>
            </w:tcBorders>
          </w:tcPr>
          <w:p w14:paraId="7F7D9802" w14:textId="77777777" w:rsidR="00586B32" w:rsidRDefault="00586B32">
            <w:pPr>
              <w:jc w:val="center"/>
              <w:rPr>
                <w:b/>
              </w:rPr>
            </w:pPr>
          </w:p>
          <w:p w14:paraId="103D780B" w14:textId="77777777" w:rsidR="00586B32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NAKŁAD PRACY STUDENTA</w:t>
            </w:r>
          </w:p>
          <w:p w14:paraId="21330674" w14:textId="77777777" w:rsidR="00586B32" w:rsidRDefault="00586B32">
            <w:pPr>
              <w:jc w:val="center"/>
              <w:rPr>
                <w:b/>
                <w:color w:val="FF0000"/>
              </w:rPr>
            </w:pPr>
          </w:p>
        </w:tc>
      </w:tr>
      <w:tr w:rsidR="00586B32" w14:paraId="0BF18BD5" w14:textId="77777777">
        <w:trPr>
          <w:trHeight w:val="263"/>
        </w:trPr>
        <w:tc>
          <w:tcPr>
            <w:tcW w:w="5070" w:type="dxa"/>
            <w:vMerge w:val="restart"/>
            <w:tcBorders>
              <w:top w:val="single" w:sz="4" w:space="0" w:color="000000"/>
            </w:tcBorders>
          </w:tcPr>
          <w:p w14:paraId="26654B44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  <w:p w14:paraId="170533BE" w14:textId="77777777" w:rsidR="00586B32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Rodzaj działań/zajęć</w:t>
            </w:r>
          </w:p>
        </w:tc>
        <w:tc>
          <w:tcPr>
            <w:tcW w:w="4961" w:type="dxa"/>
            <w:gridSpan w:val="3"/>
            <w:tcBorders>
              <w:top w:val="single" w:sz="4" w:space="0" w:color="000000"/>
            </w:tcBorders>
          </w:tcPr>
          <w:p w14:paraId="3D9EB0CD" w14:textId="77777777" w:rsidR="00586B32" w:rsidRDefault="00000000">
            <w:pPr>
              <w:jc w:val="center"/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Liczba godzin  </w:t>
            </w:r>
          </w:p>
        </w:tc>
      </w:tr>
      <w:tr w:rsidR="00586B32" w14:paraId="14BFA12F" w14:textId="77777777">
        <w:trPr>
          <w:trHeight w:val="262"/>
        </w:trPr>
        <w:tc>
          <w:tcPr>
            <w:tcW w:w="5070" w:type="dxa"/>
            <w:vMerge/>
            <w:tcBorders>
              <w:top w:val="single" w:sz="4" w:space="0" w:color="000000"/>
            </w:tcBorders>
          </w:tcPr>
          <w:p w14:paraId="4C8E184F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24775CE" w14:textId="77777777" w:rsidR="00586B32" w:rsidRDefault="00000000">
            <w:pPr>
              <w:jc w:val="center"/>
            </w:pPr>
            <w:r>
              <w:t xml:space="preserve">Ogółem </w:t>
            </w:r>
          </w:p>
        </w:tc>
        <w:tc>
          <w:tcPr>
            <w:tcW w:w="1985" w:type="dxa"/>
          </w:tcPr>
          <w:p w14:paraId="0A7F10EB" w14:textId="77777777" w:rsidR="00586B32" w:rsidRDefault="00000000">
            <w:pPr>
              <w:jc w:val="center"/>
            </w:pPr>
            <w:r>
              <w:t xml:space="preserve">W tym zajęcia powiązane </w:t>
            </w:r>
            <w:r>
              <w:br/>
              <w:t>z praktycznym przygotowaniem zawodowym</w:t>
            </w:r>
          </w:p>
        </w:tc>
        <w:tc>
          <w:tcPr>
            <w:tcW w:w="1701" w:type="dxa"/>
          </w:tcPr>
          <w:p w14:paraId="47B8B9E0" w14:textId="77777777" w:rsidR="00586B32" w:rsidRDefault="00000000">
            <w:pPr>
              <w:jc w:val="center"/>
            </w:pPr>
            <w:r>
              <w:t>W tym udział w zajęciach przeprowadzanych z wykorzystaniem metod i technik kształcenia na odległość</w:t>
            </w:r>
          </w:p>
        </w:tc>
      </w:tr>
      <w:tr w:rsidR="00586B32" w14:paraId="0A75F895" w14:textId="77777777">
        <w:trPr>
          <w:trHeight w:val="262"/>
        </w:trPr>
        <w:tc>
          <w:tcPr>
            <w:tcW w:w="5070" w:type="dxa"/>
          </w:tcPr>
          <w:p w14:paraId="169731F6" w14:textId="77777777" w:rsidR="00586B32" w:rsidRDefault="00000000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wykładach</w:t>
            </w:r>
          </w:p>
        </w:tc>
        <w:tc>
          <w:tcPr>
            <w:tcW w:w="1275" w:type="dxa"/>
          </w:tcPr>
          <w:p w14:paraId="41647273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45877593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8B67366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1468A5D4" w14:textId="77777777">
        <w:trPr>
          <w:trHeight w:val="262"/>
        </w:trPr>
        <w:tc>
          <w:tcPr>
            <w:tcW w:w="5070" w:type="dxa"/>
          </w:tcPr>
          <w:p w14:paraId="6ACE2E97" w14:textId="77777777" w:rsidR="00586B32" w:rsidRDefault="00000000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Samodzielne studiowanie </w:t>
            </w:r>
          </w:p>
        </w:tc>
        <w:tc>
          <w:tcPr>
            <w:tcW w:w="1275" w:type="dxa"/>
          </w:tcPr>
          <w:p w14:paraId="02DE351F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21A886DC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94A59EC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36ED0070" w14:textId="77777777">
        <w:trPr>
          <w:trHeight w:val="262"/>
        </w:trPr>
        <w:tc>
          <w:tcPr>
            <w:tcW w:w="5070" w:type="dxa"/>
          </w:tcPr>
          <w:p w14:paraId="0DAE697F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lastRenderedPageBreak/>
              <w:t>Udział w ćwiczeniach audytoryjnych                                 i laboratoryjnych, warsztatach, seminariach</w:t>
            </w:r>
          </w:p>
        </w:tc>
        <w:tc>
          <w:tcPr>
            <w:tcW w:w="1275" w:type="dxa"/>
          </w:tcPr>
          <w:p w14:paraId="7711D871" w14:textId="1A497084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985" w:type="dxa"/>
          </w:tcPr>
          <w:p w14:paraId="02A966CF" w14:textId="54254F4C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14:paraId="37D9BB23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0DCBADB7" w14:textId="77777777">
        <w:trPr>
          <w:trHeight w:val="262"/>
        </w:trPr>
        <w:tc>
          <w:tcPr>
            <w:tcW w:w="5070" w:type="dxa"/>
          </w:tcPr>
          <w:p w14:paraId="3D36A78C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Samodzielne przygotowywanie się do ćwiczeń</w:t>
            </w:r>
          </w:p>
        </w:tc>
        <w:tc>
          <w:tcPr>
            <w:tcW w:w="1275" w:type="dxa"/>
          </w:tcPr>
          <w:p w14:paraId="74C67E0C" w14:textId="6ECB5C3B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985" w:type="dxa"/>
          </w:tcPr>
          <w:p w14:paraId="7DDE8A8A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D75DDD2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1D459F5B" w14:textId="77777777">
        <w:trPr>
          <w:trHeight w:val="262"/>
        </w:trPr>
        <w:tc>
          <w:tcPr>
            <w:tcW w:w="5070" w:type="dxa"/>
          </w:tcPr>
          <w:p w14:paraId="59D3F296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projektu / eseju / itp.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1275" w:type="dxa"/>
          </w:tcPr>
          <w:p w14:paraId="330E4BAB" w14:textId="73F49D33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14:paraId="4679BD88" w14:textId="7940CEBF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701" w:type="dxa"/>
          </w:tcPr>
          <w:p w14:paraId="4768DF26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75BC780B" w14:textId="77777777">
        <w:trPr>
          <w:trHeight w:val="262"/>
        </w:trPr>
        <w:tc>
          <w:tcPr>
            <w:tcW w:w="5070" w:type="dxa"/>
          </w:tcPr>
          <w:p w14:paraId="12FF24C7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się do egzaminu / zaliczenia</w:t>
            </w:r>
          </w:p>
        </w:tc>
        <w:tc>
          <w:tcPr>
            <w:tcW w:w="1275" w:type="dxa"/>
          </w:tcPr>
          <w:p w14:paraId="61329B0A" w14:textId="4909C478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14:paraId="6D72CA0A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67BDC1B0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46A91A1A" w14:textId="77777777">
        <w:trPr>
          <w:trHeight w:val="262"/>
        </w:trPr>
        <w:tc>
          <w:tcPr>
            <w:tcW w:w="5070" w:type="dxa"/>
          </w:tcPr>
          <w:p w14:paraId="5A56288B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konsultacjach</w:t>
            </w:r>
          </w:p>
        </w:tc>
        <w:tc>
          <w:tcPr>
            <w:tcW w:w="1275" w:type="dxa"/>
          </w:tcPr>
          <w:p w14:paraId="365E41BA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590C3F41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5E393C7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6231F1C7" w14:textId="77777777">
        <w:trPr>
          <w:trHeight w:val="262"/>
        </w:trPr>
        <w:tc>
          <w:tcPr>
            <w:tcW w:w="5070" w:type="dxa"/>
          </w:tcPr>
          <w:p w14:paraId="605B24FF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Inne</w:t>
            </w:r>
          </w:p>
        </w:tc>
        <w:tc>
          <w:tcPr>
            <w:tcW w:w="1275" w:type="dxa"/>
          </w:tcPr>
          <w:p w14:paraId="23A72467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5E2C4E1F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64BDD8C5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3CFCBF5B" w14:textId="77777777">
        <w:trPr>
          <w:trHeight w:val="262"/>
        </w:trPr>
        <w:tc>
          <w:tcPr>
            <w:tcW w:w="5070" w:type="dxa"/>
          </w:tcPr>
          <w:p w14:paraId="311554EE" w14:textId="77777777" w:rsidR="00586B32" w:rsidRDefault="00000000">
            <w:pPr>
              <w:spacing w:before="60" w:after="6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ŁĄCZNY nakład pracy studenta w godz.</w:t>
            </w:r>
          </w:p>
        </w:tc>
        <w:tc>
          <w:tcPr>
            <w:tcW w:w="1275" w:type="dxa"/>
          </w:tcPr>
          <w:p w14:paraId="1A680F0C" w14:textId="55A88735" w:rsidR="00586B32" w:rsidRDefault="0049112E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</w:t>
            </w:r>
          </w:p>
        </w:tc>
        <w:tc>
          <w:tcPr>
            <w:tcW w:w="1985" w:type="dxa"/>
          </w:tcPr>
          <w:p w14:paraId="2515F802" w14:textId="63F3BDB0" w:rsidR="00586B32" w:rsidRDefault="0049112E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1701" w:type="dxa"/>
          </w:tcPr>
          <w:p w14:paraId="56D8247D" w14:textId="77777777" w:rsidR="00586B32" w:rsidRDefault="00586B32">
            <w:pPr>
              <w:spacing w:before="60" w:after="60"/>
              <w:jc w:val="center"/>
              <w:rPr>
                <w:sz w:val="24"/>
                <w:szCs w:val="24"/>
              </w:rPr>
            </w:pPr>
          </w:p>
        </w:tc>
      </w:tr>
      <w:tr w:rsidR="00586B32" w14:paraId="3806F5AB" w14:textId="77777777">
        <w:trPr>
          <w:trHeight w:val="236"/>
        </w:trPr>
        <w:tc>
          <w:tcPr>
            <w:tcW w:w="5070" w:type="dxa"/>
            <w:shd w:val="clear" w:color="auto" w:fill="C0C0C0"/>
          </w:tcPr>
          <w:p w14:paraId="4745C7C5" w14:textId="77777777" w:rsidR="00586B32" w:rsidRDefault="00000000">
            <w:pPr>
              <w:spacing w:before="60" w:after="6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Liczba punktów ECTS za przedmiot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5B0DB5DE" w14:textId="0E6E462E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586B32" w14:paraId="2D2CFD23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7E0B69CC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Liczba punktów ECTS związana z zajęciami praktycznymi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16E6BEA8" w14:textId="4D76C165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1,4</w:t>
            </w:r>
          </w:p>
        </w:tc>
      </w:tr>
      <w:tr w:rsidR="00586B32" w14:paraId="454FE960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31F7F3D8" w14:textId="77777777" w:rsidR="00586B32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związana z kształceniem na odległość (kształcenie z wykorzystaniem metod i technik kształcenia na odległość)</w:t>
            </w:r>
            <w:r>
              <w:rPr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10526DED" w14:textId="5FE62A76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</w:tr>
      <w:tr w:rsidR="00586B32" w14:paraId="1C83D997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25B8DE45" w14:textId="77777777" w:rsidR="00586B32" w:rsidRDefault="00000000">
            <w:pPr>
              <w:spacing w:before="60" w:after="60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za zajęciach wymagające bezpośredniego udziału nauczycieli akademickich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4033C11A" w14:textId="1BF7EADA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</w:tbl>
    <w:p w14:paraId="093F32DA" w14:textId="77777777" w:rsidR="00586B32" w:rsidRDefault="00586B32"/>
    <w:sectPr w:rsidR="00586B32">
      <w:pgSz w:w="11906" w:h="16838"/>
      <w:pgMar w:top="851" w:right="1417" w:bottom="426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6086AC" w14:textId="77777777" w:rsidR="00D3533C" w:rsidRDefault="00D3533C">
      <w:r>
        <w:separator/>
      </w:r>
    </w:p>
  </w:endnote>
  <w:endnote w:type="continuationSeparator" w:id="0">
    <w:p w14:paraId="22024500" w14:textId="77777777" w:rsidR="00D3533C" w:rsidRDefault="00D353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8A23BF3-A87B-4588-933A-6671F4E5249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C5464D15-9539-41AA-8D11-82828B05FEB1}"/>
    <w:embedBold r:id="rId3" w:fontKey="{62A6EE9D-70E0-4283-8511-D4C74BD1D0BF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4E18E2CE-A0BE-4268-BE04-114360DBA20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A37F02E0-AD6E-4567-91D1-D60BC90CAB8F}"/>
    <w:embedItalic r:id="rId6" w:fontKey="{EE2E87AF-C57C-408E-BA08-62E78FA6CC2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1C3E51" w14:textId="77777777" w:rsidR="00D3533C" w:rsidRDefault="00D3533C">
      <w:r>
        <w:separator/>
      </w:r>
    </w:p>
  </w:footnote>
  <w:footnote w:type="continuationSeparator" w:id="0">
    <w:p w14:paraId="5F43F285" w14:textId="77777777" w:rsidR="00D3533C" w:rsidRDefault="00D3533C">
      <w:r>
        <w:continuationSeparator/>
      </w:r>
    </w:p>
  </w:footnote>
  <w:footnote w:id="1">
    <w:p w14:paraId="0B2C8FEE" w14:textId="77777777" w:rsidR="00586B32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W przypadku zajęć kształtujących umiejętności praktyczne metody i techniki kształcenia na odległość mogą być wykorzystywane pomocniczo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53E4AF5"/>
    <w:multiLevelType w:val="multilevel"/>
    <w:tmpl w:val="A07E7ACA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6C301A9"/>
    <w:multiLevelType w:val="multilevel"/>
    <w:tmpl w:val="9C2E37E2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929847991">
    <w:abstractNumId w:val="1"/>
  </w:num>
  <w:num w:numId="2" w16cid:durableId="18206094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6B32"/>
    <w:rsid w:val="000E2F78"/>
    <w:rsid w:val="003C6074"/>
    <w:rsid w:val="0049112E"/>
    <w:rsid w:val="00586B32"/>
    <w:rsid w:val="006C31E8"/>
    <w:rsid w:val="00A000D4"/>
    <w:rsid w:val="00D35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E49294"/>
  <w15:docId w15:val="{DDC75CE0-E4A2-4C94-9D78-52AC2B97C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62D5D"/>
  </w:style>
  <w:style w:type="paragraph" w:styleId="Nagwek1">
    <w:name w:val="heading 1"/>
    <w:basedOn w:val="Normalny"/>
    <w:next w:val="Normalny"/>
    <w:link w:val="Nagwek1Znak"/>
    <w:uiPriority w:val="9"/>
    <w:qFormat/>
    <w:rsid w:val="00D62D5D"/>
    <w:pPr>
      <w:keepNext/>
      <w:outlineLvl w:val="0"/>
    </w:pPr>
    <w:rPr>
      <w:b/>
      <w:snapToGrid w:val="0"/>
      <w:sz w:val="24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62D5D"/>
    <w:pPr>
      <w:keepNext/>
      <w:ind w:firstLine="708"/>
      <w:jc w:val="center"/>
      <w:outlineLvl w:val="1"/>
    </w:pPr>
    <w:rPr>
      <w:rFonts w:ascii="Cambria" w:hAnsi="Cambria"/>
      <w:b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7F6E52"/>
    <w:pPr>
      <w:jc w:val="center"/>
    </w:pPr>
    <w:rPr>
      <w:b/>
      <w:sz w:val="24"/>
    </w:rPr>
  </w:style>
  <w:style w:type="character" w:customStyle="1" w:styleId="Nagwek1Znak">
    <w:name w:val="Nagłówek 1 Znak"/>
    <w:basedOn w:val="Domylnaczcionkaakapitu"/>
    <w:link w:val="Nagwek1"/>
    <w:rsid w:val="00D62D5D"/>
    <w:rPr>
      <w:rFonts w:ascii="Times New Roman" w:eastAsia="Times New Roman" w:hAnsi="Times New Roman" w:cs="Times New Roman"/>
      <w:b/>
      <w:snapToGrid w:val="0"/>
      <w:sz w:val="24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D62D5D"/>
    <w:rPr>
      <w:rFonts w:ascii="Cambria" w:eastAsia="Times New Roman" w:hAnsi="Cambria" w:cs="Times New Roman"/>
      <w:b/>
      <w:sz w:val="20"/>
      <w:szCs w:val="20"/>
      <w:lang w:eastAsia="pl-PL"/>
    </w:rPr>
  </w:style>
  <w:style w:type="paragraph" w:customStyle="1" w:styleId="Akapitzlist1">
    <w:name w:val="Akapit z listą1"/>
    <w:basedOn w:val="Normalny"/>
    <w:rsid w:val="004A78BB"/>
    <w:pPr>
      <w:ind w:left="720"/>
    </w:pPr>
    <w:rPr>
      <w:sz w:val="24"/>
      <w:szCs w:val="24"/>
      <w:lang w:eastAsia="ar-SA"/>
    </w:rPr>
  </w:style>
  <w:style w:type="character" w:customStyle="1" w:styleId="TytuZnak">
    <w:name w:val="Tytuł Znak"/>
    <w:basedOn w:val="Domylnaczcionkaakapitu"/>
    <w:link w:val="Tytu"/>
    <w:rsid w:val="007F6E5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905950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0595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905950"/>
    <w:rPr>
      <w:vertAlign w:val="superscript"/>
    </w:rPr>
  </w:style>
  <w:style w:type="paragraph" w:styleId="Akapitzlist">
    <w:name w:val="List Paragraph"/>
    <w:basedOn w:val="Normalny"/>
    <w:uiPriority w:val="34"/>
    <w:qFormat/>
    <w:rsid w:val="00E05E26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  <w:ind w:left="720"/>
      <w:contextualSpacing/>
    </w:pPr>
    <w:rPr>
      <w:rFonts w:ascii="Calibri" w:eastAsia="Calibri" w:hAnsi="Calibri" w:cs="Calibri"/>
      <w:color w:val="000000"/>
      <w:sz w:val="22"/>
      <w:szCs w:val="22"/>
      <w:u w:color="000000"/>
      <w:bdr w:val="ni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l0kw8dJ8i+9YPsNMNixNs2I1QQ==">CgMxLjAyDmgubnh5emIyb2RpdnlwMg5oLmw0N2U1bmYwMjBmYzgAciExLTl3a1lob2x3VFhHVVNIR0JNeDFwdjVfSmJqR2JSaFk=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1447</Words>
  <Characters>8688</Characters>
  <Application>Microsoft Office Word</Application>
  <DocSecurity>0</DocSecurity>
  <Lines>72</Lines>
  <Paragraphs>20</Paragraphs>
  <ScaleCrop>false</ScaleCrop>
  <Company>Panstwowa Wyzsza Szkola Zawodowa w Elblagu</Company>
  <LinksUpToDate>false</LinksUpToDate>
  <CharactersWithSpaces>10115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PWSZ</dc:creator>
  <cp:lastModifiedBy>Teresa Kubryn</cp:lastModifiedBy>
  <cp:revision>4</cp:revision>
  <dcterms:created xsi:type="dcterms:W3CDTF">2025-05-04T20:19:00Z</dcterms:created>
  <dcterms:modified xsi:type="dcterms:W3CDTF">2025-06-22T17:19:00Z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0x0101004BDD51ED5529F744A9DF52CF641A6E1C</vt:lpwstr>
  </property>
</Properties>
</file>